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8"/>
        <w:gridCol w:w="115"/>
        <w:gridCol w:w="4842"/>
      </w:tblGrid>
      <w:tr>
        <w:trPr>
          <w:trHeight w:val="989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.5"/>
                <w:spacing w:val="-2"/>
                <w:shd w:val="auto"/>
              </w:rPr>
              <w:t xml:space="preserve">Соглашение о предоставлении субсидии из федерального бюджета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  <w:tr>
        <w:trPr>
          <w:trHeight w:val="358"/>
        </w:trPr>
        <w:tc>
          <w:tcPr>
            <w:tcW w:w="9585" w:type="dxa"/>
            <w:gridSpan w:val="3"/>
          </w:tcPr>
          <w:p/>
        </w:tc>
      </w:tr>
      <w:tr>
        <w:trPr>
          <w:trHeight w:val="802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г. Москва</w:t>
            </w:r>
          </w:p>
        </w:tc>
      </w:tr>
      <w:tr>
        <w:trPr>
          <w:trHeight w:val="330"/>
        </w:trPr>
        <w:tc>
          <w:tcPr>
            <w:tcW w:w="4628" w:type="dxa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 «__» ________ ____ г.</w:t>
            </w:r>
          </w:p>
        </w:tc>
        <w:tc>
          <w:tcPr>
            <w:tcW w:w="4957" w:type="dxa"/>
            <w:gridSpan w:val="2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№ 054-03-2022-128</w:t>
            </w:r>
          </w:p>
        </w:tc>
      </w:tr>
      <w:tr>
        <w:trPr/>
        <w:tc>
          <w:tcPr>
            <w:tcW w:w="9585" w:type="dxa"/>
            <w:gridSpan w:val="3"/>
          </w:tcPr>
          <w:p/>
        </w:tc>
      </w:tr>
      <w:tr>
        <w:trPr>
          <w:trHeight w:val="115"/>
        </w:trPr>
        <w:tc>
          <w:tcPr>
            <w:tcW w:w="9585" w:type="dxa"/>
            <w:gridSpan w:val="3"/>
          </w:tcPr>
          <w:p/>
        </w:tc>
      </w:tr>
      <w:tr>
        <w:trPr>
          <w:trHeight w:val="1432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МИНИСТЕРСТВО КУЛЬТУРЫ РОССИЙСКОЙ ФЕДЕРАЦИИ, которому как получателю средств федерального бюджета доведены лимиты бюджетных обязательств на предоставление субсидий федеральным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 Директора департамента музеев и внешних связей Воронко Александра Николаевича, действующего на основании Доверенности от 10.01.2022 № 2 - 43 "Д", с одной стороны и 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КОРЕЛЫ", именуемое в дальнейшем «Учреждение», в лице Директора Рубцова Сергея Германовича, действующего на основании Устава, с другой стороны, далее именуемые «Стороны»,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 июня 2015 г. № 640 (далее - Положение), заключили настоящее Соглашение о нижеследующем.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I. Предмет Соглашения</w:t>
            </w:r>
          </w:p>
        </w:tc>
      </w:tr>
      <w:tr>
        <w:trPr>
          <w:trHeight w:val="115"/>
        </w:trPr>
        <w:tc>
          <w:tcPr>
            <w:tcW w:w="9585" w:type="dxa"/>
            <w:gridSpan w:val="3"/>
          </w:tcPr>
          <w:p/>
        </w:tc>
      </w:tr>
      <w:tr>
        <w:trPr>
          <w:trHeight w:val="1074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1.1. Предметом настоящего Соглашения является предоставление Учреждению из федерального бюджета в 2022-2024 годах субсидии на финансовое обеспечение выполнения государственного задания на оказание государственных услуг (выполнение работ) № 054-00151-22-00 от 27.12.2021 (далее - Субсидия, государственное задание).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673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II. Порядок, условия предоставления Субсидии и финансовое обеспечение выполнения государственного задания</w:t>
            </w:r>
          </w:p>
        </w:tc>
      </w:tr>
      <w:tr>
        <w:trPr>
          <w:trHeight w:val="115"/>
        </w:trPr>
        <w:tc>
          <w:tcPr>
            <w:tcW w:w="9585" w:type="dxa"/>
            <w:gridSpan w:val="3"/>
          </w:tcPr>
          <w:p/>
        </w:tc>
      </w:tr>
      <w:tr>
        <w:trPr>
          <w:trHeight w:val="817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2.1. Субсидия предоставляется Учреждению на оказание государственных услуг (выполнение работ), установленных в государственном задании.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2.2. Субсидия предоставляется в пределах лимитов бюджетных обязательств, доведенных Учредителю как получателю средств федерального бюджета по </w:t>
            </w:r>
          </w:p>
        </w:tc>
      </w:tr>
      <w:tr>
        <w:trPr>
          <w:trHeight w:val="1433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кодам классификации расходов бюджетов Российской Федерации (далее – коды БК), в следующем размере: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 в 2022 году 127 918 465,00 (сто двадцать семь миллионов девятьсот восемнадцать тысяч четыреста шестьдесят пять) рублей - по коду БК 054 0801 11 4 03 90059 611;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 в 2023 году 127 918 465,00 (сто двадцать семь миллионов девятьсот восемнадцать тысяч четыреста шестьдесят пять) рублей - по коду БК 054 0801 11 4 03 90059 611;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 в 2024 году 127 918 465,00 (сто двадцать семь миллионов девятьсот восемнадцать тысяч четыреста шестьдесят пять) рублей - по коду БК 054 0801 11 4 03 90059 611.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2.3. 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14"/>
        </w:trPr>
        <w:tc>
          <w:tcPr>
            <w:tcW w:w="9585" w:type="dxa"/>
            <w:gridSpan w:val="3"/>
          </w:tcPr>
          <w:p/>
        </w:tc>
      </w:tr>
      <w:tr>
        <w:trPr>
          <w:trHeight w:val="359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III. Порядок перечисления Субсидии</w:t>
            </w:r>
          </w:p>
        </w:tc>
      </w:tr>
      <w:tr>
        <w:trPr>
          <w:trHeight w:val="114"/>
        </w:trPr>
        <w:tc>
          <w:tcPr>
            <w:tcW w:w="9585" w:type="dxa"/>
            <w:gridSpan w:val="3"/>
          </w:tcPr>
          <w:p/>
        </w:tc>
      </w:tr>
      <w:tr>
        <w:trPr>
          <w:trHeight w:val="917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3.1. Перечисление Субсидии осуществляется в соответствии с Положением: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3.1.1. на лицевой счет, открытый Учреждению в Управлении Федерального казначейства по Архангельской области и Ненецкому автономному округу (Архангельская область).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IV. Взаимодействие Сторон</w:t>
            </w:r>
          </w:p>
        </w:tc>
      </w:tr>
      <w:tr>
        <w:trPr>
          <w:trHeight w:val="115"/>
        </w:trPr>
        <w:tc>
          <w:tcPr>
            <w:tcW w:w="9585" w:type="dxa"/>
            <w:gridSpan w:val="3"/>
          </w:tcPr>
          <w:p/>
        </w:tc>
      </w:tr>
      <w:tr>
        <w:trPr>
          <w:trHeight w:val="1432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 Учредитель обязуется: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4.1.1. обеспечить предоставление Субсидии в соответствии с разделом II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4.1.2. размещать на официальном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пункте 2.2 настоящего Соглашения, не позднее 30 рабочих дней после утверждения нормативных затрат (внесения в них изменений);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4.1.3. 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4.1.4. 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30 рабочих дней после получения предложений;</w:t>
            </w:r>
          </w:p>
        </w:tc>
      </w:tr>
      <w:tr>
        <w:trPr>
          <w:trHeight w:val="1433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4.1.6. вносить изменения в показатели, характеризующие объем государственных услуг,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году, представленного Учреждением в соответствии с пунктом 4.3.4.1 настоящего Соглашения, в течение 15 дней со дня его представления Учреждением, в случае если на основании данных предварительного отчета об исполнении государственного задания необходимо уменьшить показатели, характеризующие объем государственных услуг, установленные в государственном задании;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4.1.7. направлять Учреждению расчет средств Субсидии, подлежащих возврату в федеральный бюджет на 1 января 2023 г., составленный по форме согласно приложению № 2 к настоящему Соглашению, являющемуся неотъемлемой частью настоящего Соглашения, в срок до 1 мая года, следующего за отчетным;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4.1.8. принимать меры, обеспечивающие перечисление Учреждением Учредителю в федеральный бюджет средств Субсидии, подлежащих возврату в федеральный бюджет на 1 января 2023 г., в соответствии с расчетом, указанным в пункте 4.1.7 настоящего Соглашения, в срок, указанный в пункте 4.3.2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4.1.9. выполнять иные обязательства, установленные бюджетным законодательством Российской Федерации, Положением и настоящим Соглашением.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 Учредитель вправе: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4.2.1. запрашивать у Учреждения информацию и документы, необходимые для осуществления контроля за выполнением Учреждением государственного задания;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 принимать решение об изменении размера Субсидии: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4.2.2.1. 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4.2.2.1.1. уменьшения Учредителю ранее утвержденных лимитов бюджетных обязательств, указанных в пункте 2.2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4.2.2.1.2. увеличения (при наличии у Учредителя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4.2.2.1.3. принятия решения по результатам рассмотрения предложений Учреждения, направленных в соответствии с пунктом 4.4.2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4.2.2.2. без соответствующего изменения показателей, характеризующих объем государственных услуг (работ), установленных в государственном задании, в связи с внесением изменений в нормативные затраты в течение срока выполнения государственного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государственного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      </w:r>
          </w:p>
        </w:tc>
      </w:tr>
      <w:tr>
        <w:trPr>
          <w:trHeight w:val="1433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4.2.3. осуществлять иные права, установленные бюджетным законодательством Российской Федерации, Положением и настоящим Соглашением.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 Учреждение обязуется: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4.3.1. предоставлять в течение 10 дней по запросу Учредителя информацию и документы, необходимые для осуществления контроля, предусмотренного пунктом 4.1.4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4.3.2. осуществлять в срок до 1 мая года, следующего за отчетным, возврат средств Субсидии, подлежащих возврату в федеральный бюджет на 1 января 2023 г., в размере, указанном в расчете, представленном Учредителем в соответствии с пунктом 4.1.7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4.3.3. направлять средства Субсидии на выплаты, установленные планом финансово-хозяйственной деятельности Учреждения (далее – план финансово-хозяйственной деятельности), сформированным и утвержденным в порядке, определенном приказом Министерства культуры Российской Федерации по формированию плана финансово-хозяйственной деятельности;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4.3.4. представлять Учредителю в соответствии с Положением: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4.3.4.1. предварительный отчет об исполнении государственного задания, составленный по форме, предусмотренной для отчета о выполнении государственного задания (приложение № 2 к Положению), в срок до 20 ноября текущего финансового года;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4.3.4.2. отчет о выполнении государственного задания по форме, согласно приложению № 2 к Положению, в срок до 15 января года, следующего за отчетным;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4.3.5. выполнять иные обязательства, установленные бюджетным законодательством Российской Федерации, Положением и настоящим Соглашением.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4.4. Учреждение вправе: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4.4.1. направлять не использованный в 2022 г. остаток Субсидии на осуществление в 2023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федеральный бюджет в соответствии с пунктом 4.3.2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4.4.2. направлять Учредителю предложения по исполнению настоящего Соглашения, в том числе по изменению размера Субсидии;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4.4.3. обращаться к Учредителю в целях получения разъяснений в связи с исполнением настоящего Соглашения;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4.4.4. осуществлять иные права, установленные бюджетным законодательством Российской Федерации, Положением и настоящим Соглашением.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V. Ответственность Сторон</w:t>
            </w:r>
          </w:p>
        </w:tc>
      </w:tr>
      <w:tr>
        <w:trPr>
          <w:trHeight w:val="114"/>
        </w:trPr>
        <w:tc>
          <w:tcPr>
            <w:tcW w:w="9585" w:type="dxa"/>
            <w:gridSpan w:val="3"/>
          </w:tcPr>
          <w:p/>
        </w:tc>
      </w:tr>
      <w:tr>
        <w:trPr>
          <w:trHeight w:val="1390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 </w:t>
            </w:r>
          </w:p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VI. Иные условия</w:t>
            </w:r>
          </w:p>
        </w:tc>
      </w:tr>
      <w:tr>
        <w:trPr>
          <w:trHeight w:val="114"/>
        </w:trPr>
        <w:tc>
          <w:tcPr>
            <w:tcW w:w="9585" w:type="dxa"/>
            <w:gridSpan w:val="3"/>
          </w:tcPr>
          <w:p/>
        </w:tc>
      </w:tr>
      <w:tr>
        <w:trPr>
          <w:trHeight w:val="760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6.1. Иные условия по настоящему Соглашению: субсидия на финансовое обеспечение выполнения государственного задания доводится до Учреждения с учетом индексации фонда оплаты труда.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VII. Заключительные положения</w:t>
            </w:r>
          </w:p>
        </w:tc>
      </w:tr>
      <w:tr>
        <w:trPr>
          <w:trHeight w:val="115"/>
        </w:trPr>
        <w:tc>
          <w:tcPr>
            <w:tcW w:w="9585" w:type="dxa"/>
            <w:gridSpan w:val="3"/>
          </w:tcPr>
          <w:p/>
        </w:tc>
      </w:tr>
      <w:tr>
        <w:trPr>
          <w:trHeight w:val="1433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7.1. Расторжение Соглашения осуществляется по соглашению сторон, за исключением расторжения в одностороннем порядке, предусмотренного пунктом 7.1.1 настоящего Соглашения.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7.1.1. Расторжение настоящего Соглашения Учредителем в одностороннем порядке возможно в случаях: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7.1.1.1. прекращения деятельности Учреждения при реорганизации или ликвидации;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7.1.1.2. нарушения Учреждением условий предоставления субсидии, предусмотренных настоящим Соглашением;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7.2. 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федеральный бюджет в установленном порядке.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7.3.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7.4.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7.5. 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7.6. Документы и иная информация, предусмотренные настоящим Соглашением, могут направляться Сторонами следующим(ми) способом(ами):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7.6.1. путем использования государственной интегрированной информационной системы управления общественными финансами «Электронный бюджет»;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7.6.2.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      </w:r>
          </w:p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7.7. Настоящее Соглашение заключено Сторонами в форме:</w:t>
            </w:r>
          </w:p>
        </w:tc>
      </w:tr>
      <w:tr>
        <w:trPr>
          <w:trHeight w:val="945"/>
        </w:trPr>
        <w:tc>
          <w:tcPr>
            <w:tcW w:w="9585" w:type="dxa"/>
            <w:gridSpan w:val="3"/>
            <w:vMerge w:val="restart"/>
            <w:shd w:val="clear" w:color="auto" w:fill="auto"/>
          </w:tcPr>
          <w:p>
            <w:pPr>
              <w:spacing w:line="23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      7.7.1.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      </w:r>
          </w:p>
        </w:tc>
      </w:tr>
      <w:tr>
        <w:trPr/>
        <w:tc>
          <w:tcPr>
            <w:tcW w:w="9585" w:type="dxa"/>
            <w:gridSpan w:val="3"/>
            <w:vMerge/>
            <w:shd w:val="clear" w:color="auto" w:fill="auto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</w:tcPr>
          <w:p/>
        </w:tc>
      </w:tr>
      <w:tr>
        <w:trPr>
          <w:trHeight w:val="344"/>
        </w:trPr>
        <w:tc>
          <w:tcPr>
            <w:tcW w:w="9585" w:type="dxa"/>
            <w:gridSpan w:val="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VIII. Платежные реквизиты Сторон</w:t>
            </w:r>
          </w:p>
        </w:tc>
      </w:tr>
      <w:tr>
        <w:trPr/>
        <w:tc>
          <w:tcPr>
            <w:tcW w:w="9585" w:type="dxa"/>
            <w:gridSpan w:val="3"/>
          </w:tcPr>
          <w:p/>
        </w:tc>
      </w:tr>
      <w:tr>
        <w:trPr>
          <w:trHeight w:val="229"/>
        </w:trPr>
        <w:tc>
          <w:tcPr>
            <w:tcW w:w="9585" w:type="dxa"/>
            <w:gridSpan w:val="3"/>
            <w:tcBorders>
              <w:bottom w:val="single" w:sz="5" w:space="0" w:color="696969"/>
            </w:tcBorders>
          </w:tcPr>
          <w:p/>
        </w:tc>
      </w:tr>
      <w:tr>
        <w:trPr>
          <w:trHeight w:val="1333"/>
        </w:trPr>
        <w:tc>
          <w:tcPr>
            <w:tcW w:w="462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МИНИСТЕРСТВО КУЛЬТУРЫ РОССИЙСКОЙ ФЕДЕРАЦИИ</w:t>
            </w:r>
          </w:p>
        </w:tc>
        <w:tc>
          <w:tcPr>
            <w:tcW w:w="495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</w:tr>
      <w:tr>
        <w:trPr>
          <w:trHeight w:val="1318"/>
        </w:trPr>
        <w:tc>
          <w:tcPr>
            <w:tcW w:w="4628" w:type="dxa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4957" w:type="dxa"/>
            <w:gridSpan w:val="2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МИНКУЛЬТУРЫ РОССИИ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МУЗЕЙ "МАЛЫЕ КОРЕЛЫ"</w:t>
            </w:r>
          </w:p>
        </w:tc>
      </w:tr>
      <w:tr>
        <w:trPr>
          <w:trHeight w:val="1332"/>
        </w:trPr>
        <w:tc>
          <w:tcPr>
            <w:tcW w:w="462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МИНИСТЕРСТВО КУЛЬТУРЫ РОССИЙСКОЙ ФЕДЕРАЦИИ</w:t>
            </w:r>
          </w:p>
        </w:tc>
        <w:tc>
          <w:tcPr>
            <w:tcW w:w="495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</w:tr>
      <w:tr>
        <w:trPr>
          <w:trHeight w:val="1319"/>
        </w:trPr>
        <w:tc>
          <w:tcPr>
            <w:tcW w:w="4628" w:type="dxa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4957" w:type="dxa"/>
            <w:gridSpan w:val="2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val="487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ОГРН 1087746878295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ОГРН 1022901495924</w:t>
            </w:r>
          </w:p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ОКТМО 45382000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ОКТМО 11652466116</w:t>
            </w:r>
          </w:p>
        </w:tc>
      </w:tr>
      <w:tr>
        <w:trPr>
          <w:trHeight w:val="487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Место нахождения: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Место нахождения:</w:t>
            </w:r>
          </w:p>
        </w:tc>
      </w:tr>
      <w:tr>
        <w:trPr>
          <w:trHeight w:val="110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125009, ГОРОД МОСКВА, ПЕРЕУЛОК ГНЕЗДНИКОВСКИЙ М., ДОМ ДОМ 7/6, СТРОЕНИЕ 1,2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163502, ОБЛ. АРХАНГЕЛЬСКАЯ, МАЛЫЕ КАРЕЛЫ</w:t>
            </w:r>
          </w:p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ИНН 7705851331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ИНН 2901045346</w:t>
            </w:r>
          </w:p>
        </w:tc>
      </w:tr>
      <w:tr>
        <w:trPr>
          <w:trHeight w:val="487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КПП 770301001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КПП 292101001</w:t>
            </w:r>
          </w:p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Платежные реквизиты: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Платежные реквизиты:</w:t>
            </w:r>
          </w:p>
        </w:tc>
      </w:tr>
      <w:tr>
        <w:trPr>
          <w:trHeight w:val="1418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ОПЕРАЦИОННЫЙ ДЕПАРТАМЕНТ БАНКА РОССИИ//Межрегиональное операционное УФК г. Москва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ОТДЕЛЕНИЕ АРХАНГЕЛЬСК БАНКА РОССИИ//УФК по Архангельской области и Ненецкому автономному округу г. Архангельск</w:t>
            </w:r>
          </w:p>
        </w:tc>
      </w:tr>
      <w:tr>
        <w:trPr>
          <w:trHeight w:val="143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Межрегиональное операционное управление Федерального казначейства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БИК 024501901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БИК 011117401</w:t>
            </w:r>
          </w:p>
        </w:tc>
      </w:tr>
      <w:tr>
        <w:trPr>
          <w:trHeight w:val="802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Единый казначейский счет 40102810045370000002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Единый казначейский счет 40102810045370000016</w:t>
            </w:r>
          </w:p>
        </w:tc>
      </w:tr>
      <w:tr>
        <w:trPr>
          <w:trHeight w:val="802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Казначейский счет 03211643000000019500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Казначейский счет 03214643000000012400</w:t>
            </w:r>
          </w:p>
        </w:tc>
      </w:tr>
      <w:tr>
        <w:trPr>
          <w:trHeight w:val="473"/>
        </w:trPr>
        <w:tc>
          <w:tcPr>
            <w:tcW w:w="4628" w:type="dxa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Лицевой счет 03951000540</w:t>
            </w:r>
          </w:p>
        </w:tc>
        <w:tc>
          <w:tcPr>
            <w:tcW w:w="495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Лицевой счет 20246X53580</w:t>
            </w:r>
          </w:p>
        </w:tc>
      </w:tr>
      <w:tr>
        <w:trPr>
          <w:trHeight w:val="674"/>
        </w:trPr>
        <w:tc>
          <w:tcPr>
            <w:tcW w:w="9585" w:type="dxa"/>
            <w:gridSpan w:val="3"/>
            <w:vAlign w:val="center"/>
            <w:tcBorders>
              <w:top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.5"/>
                <w:spacing w:val="-2"/>
                <w:shd w:val="auto"/>
              </w:rPr>
              <w:t xml:space="preserve">IX. Подписи Сторон</w:t>
            </w:r>
          </w:p>
        </w:tc>
      </w:tr>
      <w:tr>
        <w:trPr/>
        <w:tc>
          <w:tcPr>
            <w:tcW w:w="9585" w:type="dxa"/>
            <w:gridSpan w:val="3"/>
          </w:tcPr>
          <w:p/>
        </w:tc>
      </w:tr>
      <w:tr>
        <w:trPr>
          <w:trHeight w:val="215"/>
        </w:trPr>
        <w:tc>
          <w:tcPr>
            <w:tcW w:w="9585" w:type="dxa"/>
            <w:gridSpan w:val="3"/>
            <w:tcBorders>
              <w:bottom w:val="single" w:sz="5" w:space="0" w:color="696969"/>
            </w:tcBorders>
          </w:tcPr>
          <w:p/>
        </w:tc>
      </w:tr>
      <w:tr>
        <w:trPr>
          <w:trHeight w:val="458"/>
        </w:trPr>
        <w:tc>
          <w:tcPr>
            <w:tcW w:w="4743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МИНКУЛЬТУРЫ РОССИИ</w:t>
            </w:r>
          </w:p>
        </w:tc>
        <w:tc>
          <w:tcPr>
            <w:tcW w:w="484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МУЗЕЙ "МАЛЫЕ КОРЕЛЫ"</w:t>
            </w:r>
          </w:p>
        </w:tc>
      </w:tr>
      <w:tr>
        <w:trPr>
          <w:trHeight w:val="903"/>
        </w:trPr>
        <w:tc>
          <w:tcPr>
            <w:tcW w:w="4743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_____________/А.Н. Воронко</w:t>
            </w:r>
          </w:p>
        </w:tc>
        <w:tc>
          <w:tcPr>
            <w:tcW w:w="484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  <w:shd w:val="auto"/>
              </w:rPr>
              <w:t xml:space="preserve">_____________/С.Г. Рубцов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1701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232"/>
      <w:rPr>
        <w:rFonts w:ascii="Calibri" w:hAnsi="Calibri" w:eastAsia="Calibri" w:cs="Calibri"/>
        <w:color w:val="000000"/>
        <w:sz w:val="16"/>
        <w:spacing w:val="-2"/>
      </w:rPr>
    </w:pPr>
    <w:r>
      <w:rPr>
        <w:rFonts w:ascii="Calibri" w:hAnsi="Calibri" w:eastAsia="Calibri" w:cs="Calibri"/>
        <w:color w:val="000000"/>
        <w:sz w:val="16"/>
        <w:spacing w:val="-2"/>
      </w:rPr>
      <w:t xml:space="preserve">Страница 1 из 7 страниц</w:t>
    </w:r>
  </w:p>
  <w:p>
    <w:pPr>
      <w:spacing w:line="232"/>
      <w:rPr>
        <w:rFonts w:ascii="Calibri" w:hAnsi="Calibri" w:eastAsia="Calibri" w:cs="Calibri"/>
        <w:color w:val="000000"/>
        <w:sz w:val="16"/>
        <w:spacing w:val="-2"/>
      </w:rPr>
    </w:pPr>
    <w:r>
      <w:rPr>
        <w:rFonts w:ascii="Calibri" w:hAnsi="Calibri" w:eastAsia="Calibri" w:cs="Calibri"/>
        <w:color w:val="000000"/>
        <w:sz w:val="16"/>
        <w:spacing w:val="-2"/>
      </w:rPr>
      <w:t xml:space="preserve"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054-03-2022-128»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2016.2.0 from 23 September 2016</cp:lastModifiedBy>
  <cp:revision>1</cp:revision>
  <dcterms:created xsi:type="dcterms:W3CDTF">2022-01-11T10:51:12Z</dcterms:created>
  <dcterms:modified xsi:type="dcterms:W3CDTF">2022-01-11T10:51:12Z</dcterms:modified>
</cp:coreProperties>
</file>